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札</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w:t>
            </w:r>
            <w:r w:rsidDel="00000000" w:rsidR="00000000" w:rsidRPr="00000000">
              <w:rPr>
                <w:rFonts w:ascii="BIZ UDPGothic" w:cs="BIZ UDPGothic" w:eastAsia="BIZ UDPGothic" w:hAnsi="BIZ UDPGothic"/>
                <w:sz w:val="28"/>
                <w:szCs w:val="28"/>
                <w:rtl w:val="0"/>
              </w:rPr>
              <w:t xml:space="preserve">　　　　　</w:t>
            </w: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sz w:val="22"/>
                <w:szCs w:val="22"/>
                <w:rtl w:val="0"/>
              </w:rPr>
              <w:t xml:space="preserve">液体クロマトグラフ質量分析計(LC-MS/MS)洗浄点検等業務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WP3t1v3KnBkvkhMPI17JQRZPBA==">CgMxLjA4AHIhMWNic21CUEQtQThsMXBGZW9CZGV4Szgxc0wwLWtxRjRi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