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PGothic" w:cs="BIZ UDPGothic" w:eastAsia="BIZ UDPGothic" w:hAnsi="BIZ UDPGothic"/>
          <w:sz w:val="49"/>
          <w:szCs w:val="49"/>
        </w:rPr>
      </w:pP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PGothic" w:cs="BIZ UDPGothic" w:eastAsia="BIZ UDPGothic" w:hAnsi="BIZ UDPGothic"/>
          <w:sz w:val="49"/>
          <w:szCs w:val="49"/>
        </w:rPr>
      </w:pPr>
      <w:r w:rsidDel="00000000" w:rsidR="00000000" w:rsidRPr="00000000">
        <w:rPr>
          <w:rFonts w:ascii="BIZ UDPGothic" w:cs="BIZ UDPGothic" w:eastAsia="BIZ UDPGothic" w:hAnsi="BIZ UDPGothic"/>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PGothic" w:cs="BIZ UDPGothic" w:eastAsia="BIZ UDPGothic" w:hAnsi="BIZ UDPGothic"/>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PGothic" w:cs="BIZ UDPGothic" w:eastAsia="BIZ UDPGothic" w:hAnsi="BIZ UDPGothic"/>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4"/>
                <w:szCs w:val="24"/>
                <w:rtl w:val="0"/>
              </w:rPr>
              <w:t xml:space="preserve">令和８年度資生館小学校スクールバス運行等業務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D">
      <w:pPr>
        <w:spacing w:line="32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