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（様式５）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札幌市ふるさと納税関係業務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社名／団体名：　　　　　　　　　　　　　　　　　　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担当者：　　　　　　　　　　　　　　　　　　　　　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（日付：令和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７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日）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46"/>
        <w:tblGridChange w:id="0">
          <w:tblGrid>
            <w:gridCol w:w="974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質問内容（付番の上、質問趣旨が明確になるよう記載すること）</w:t>
            </w:r>
          </w:p>
        </w:tc>
      </w:tr>
      <w:tr>
        <w:trPr>
          <w:cantSplit w:val="0"/>
          <w:trHeight w:val="6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right"/>
      <w:rPr/>
    </w:pPr>
    <w:r w:rsidDel="00000000" w:rsidR="00000000" w:rsidRPr="00000000">
      <w:rPr>
        <w:rFonts w:ascii="BIZ UDGothic" w:cs="BIZ UDGothic" w:eastAsia="BIZ UDGothic" w:hAnsi="BIZ UDGothic"/>
        <w:color w:val="ff0000"/>
        <w:rtl w:val="0"/>
      </w:rPr>
      <w:t xml:space="preserve">【提出期限：令和７年12月22日（月）正午必着】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