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205"/>
        <w:gridCol w:w="8788"/>
      </w:tblGrid>
      <w:tr w:rsidR="00C464B5" w14:paraId="67EDB1FB" w14:textId="77777777" w:rsidTr="00D72EDB">
        <w:trPr>
          <w:cantSplit/>
          <w:trHeight w:val="1020"/>
        </w:trPr>
        <w:tc>
          <w:tcPr>
            <w:tcW w:w="73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78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29781599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8E57A1" w:rsidRPr="00EE24D8">
              <w:rPr>
                <w:b/>
                <w:noProof/>
                <w:spacing w:val="2"/>
                <w:sz w:val="28"/>
              </w:rPr>
              <w:t>令和７年度　札幌市下水道事業の官民連携手法に係る基本検討業務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8E57A1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72EDB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134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鎌田 萌</cp:lastModifiedBy>
  <cp:revision>54</cp:revision>
  <cp:lastPrinted>2021-08-02T07:02:00Z</cp:lastPrinted>
  <dcterms:created xsi:type="dcterms:W3CDTF">2020-11-10T06:44:00Z</dcterms:created>
  <dcterms:modified xsi:type="dcterms:W3CDTF">2025-03-12T08:04:00Z</dcterms:modified>
</cp:coreProperties>
</file>