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BAD83" w14:textId="16091781" w:rsidR="001768F3" w:rsidRPr="009F2030" w:rsidRDefault="001768F3" w:rsidP="00716D42">
      <w:pPr>
        <w:autoSpaceDE w:val="0"/>
        <w:autoSpaceDN w:val="0"/>
        <w:spacing w:line="240" w:lineRule="auto"/>
        <w:rPr>
          <w:rFonts w:hAnsi="ＭＳ 明朝"/>
          <w:color w:val="000000" w:themeColor="text1"/>
          <w:sz w:val="22"/>
          <w:szCs w:val="22"/>
        </w:rPr>
      </w:pPr>
      <w:r w:rsidRPr="009F2030">
        <w:rPr>
          <w:noProof/>
          <w:color w:val="000000" w:themeColor="text1"/>
          <w:sz w:val="22"/>
          <w:szCs w:val="22"/>
        </w:rPr>
        <mc:AlternateContent>
          <mc:Choice Requires="wps">
            <w:drawing>
              <wp:inline distT="0" distB="0" distL="0" distR="0" wp14:anchorId="75D76AC2" wp14:editId="3D95FAAC">
                <wp:extent cx="5913755" cy="644056"/>
                <wp:effectExtent l="0" t="0" r="10795" b="22860"/>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644056"/>
                        </a:xfrm>
                        <a:prstGeom prst="rect">
                          <a:avLst/>
                        </a:prstGeom>
                        <a:solidFill>
                          <a:srgbClr val="FFFFFF"/>
                        </a:solidFill>
                        <a:ln w="9525">
                          <a:solidFill>
                            <a:srgbClr val="000000"/>
                          </a:solidFill>
                          <a:prstDash val="dash"/>
                          <a:miter lim="800000"/>
                          <a:headEnd/>
                          <a:tailEnd/>
                        </a:ln>
                      </wps:spPr>
                      <wps:txbx>
                        <w:txbxContent>
                          <w:p w14:paraId="411A2346" w14:textId="69A6D750" w:rsidR="001768F3" w:rsidRPr="00442704" w:rsidRDefault="001768F3" w:rsidP="001768F3">
                            <w:pPr>
                              <w:autoSpaceDE w:val="0"/>
                              <w:autoSpaceDN w:val="0"/>
                              <w:spacing w:line="240" w:lineRule="auto"/>
                              <w:rPr>
                                <w:rFonts w:hAnsi="ＭＳ 明朝"/>
                                <w:color w:val="000000" w:themeColor="text1"/>
                              </w:rPr>
                            </w:pPr>
                            <w:r w:rsidRPr="00442704">
                              <w:rPr>
                                <w:rFonts w:hAnsi="ＭＳ 明朝" w:hint="eastAsia"/>
                                <w:color w:val="000000" w:themeColor="text1"/>
                              </w:rPr>
                              <w:t>※</w:t>
                            </w:r>
                            <w:r w:rsidR="001A0AB4">
                              <w:rPr>
                                <w:rFonts w:hAnsi="ＭＳ 明朝" w:hint="eastAsia"/>
                                <w:color w:val="000000" w:themeColor="text1"/>
                              </w:rPr>
                              <w:t>第</w:t>
                            </w:r>
                            <w:r w:rsidR="00180BCF">
                              <w:rPr>
                                <w:rFonts w:hAnsi="ＭＳ 明朝"/>
                                <w:color w:val="000000" w:themeColor="text1"/>
                              </w:rPr>
                              <w:t>20</w:t>
                            </w:r>
                            <w:r w:rsidR="001A0AB4">
                              <w:rPr>
                                <w:rFonts w:hAnsi="ＭＳ 明朝" w:hint="eastAsia"/>
                                <w:color w:val="000000" w:themeColor="text1"/>
                              </w:rPr>
                              <w:t>条第３項</w:t>
                            </w:r>
                            <w:r w:rsidR="002F3B2F">
                              <w:rPr>
                                <w:rFonts w:hAnsi="ＭＳ 明朝" w:hint="eastAsia"/>
                                <w:color w:val="000000" w:themeColor="text1"/>
                              </w:rPr>
                              <w:t>及び第</w:t>
                            </w:r>
                            <w:r w:rsidR="006618D0">
                              <w:rPr>
                                <w:rFonts w:hAnsi="ＭＳ 明朝"/>
                                <w:color w:val="000000" w:themeColor="text1"/>
                              </w:rPr>
                              <w:t>34</w:t>
                            </w:r>
                            <w:r w:rsidR="002F3B2F">
                              <w:rPr>
                                <w:rFonts w:hAnsi="ＭＳ 明朝" w:hint="eastAsia"/>
                                <w:color w:val="000000" w:themeColor="text1"/>
                              </w:rPr>
                              <w:t>条</w:t>
                            </w:r>
                            <w:r w:rsidR="001A0AB4">
                              <w:rPr>
                                <w:rFonts w:hAnsi="ＭＳ 明朝" w:hint="eastAsia"/>
                                <w:color w:val="000000" w:themeColor="text1"/>
                              </w:rPr>
                              <w:t>の</w:t>
                            </w:r>
                            <w:r w:rsidRPr="00442704">
                              <w:rPr>
                                <w:rFonts w:hAnsi="ＭＳ 明朝" w:hint="eastAsia"/>
                                <w:color w:val="000000" w:themeColor="text1"/>
                              </w:rPr>
                              <w:t>別紙</w:t>
                            </w:r>
                            <w:r w:rsidR="00446E7E">
                              <w:rPr>
                                <w:rFonts w:hAnsi="ＭＳ 明朝" w:hint="eastAsia"/>
                                <w:color w:val="000000" w:themeColor="text1"/>
                              </w:rPr>
                              <w:t>の</w:t>
                            </w:r>
                            <w:r w:rsidRPr="00442704">
                              <w:rPr>
                                <w:rFonts w:hAnsi="ＭＳ 明朝" w:hint="eastAsia"/>
                                <w:color w:val="000000" w:themeColor="text1"/>
                              </w:rPr>
                              <w:t>例</w:t>
                            </w:r>
                            <w:r>
                              <w:rPr>
                                <w:rFonts w:hAnsi="ＭＳ 明朝" w:hint="eastAsia"/>
                                <w:color w:val="000000" w:themeColor="text1"/>
                              </w:rPr>
                              <w:t>（</w:t>
                            </w:r>
                            <w:r w:rsidR="0013538E">
                              <w:rPr>
                                <w:rFonts w:hAnsi="ＭＳ 明朝" w:hint="eastAsia"/>
                                <w:color w:val="000000" w:themeColor="text1"/>
                              </w:rPr>
                              <w:t>就労継続支援</w:t>
                            </w:r>
                            <w:r w:rsidR="00180BCF">
                              <w:rPr>
                                <w:rFonts w:hAnsi="ＭＳ 明朝" w:hint="eastAsia"/>
                                <w:color w:val="000000" w:themeColor="text1"/>
                              </w:rPr>
                              <w:t>Ａ</w:t>
                            </w:r>
                            <w:r w:rsidR="0013538E">
                              <w:rPr>
                                <w:rFonts w:hAnsi="ＭＳ 明朝" w:hint="eastAsia"/>
                                <w:color w:val="000000" w:themeColor="text1"/>
                              </w:rPr>
                              <w:t>型</w:t>
                            </w:r>
                            <w:r>
                              <w:rPr>
                                <w:rFonts w:hAnsi="ＭＳ 明朝" w:hint="eastAsia"/>
                                <w:color w:val="000000" w:themeColor="text1"/>
                              </w:rPr>
                              <w:t>）</w:t>
                            </w:r>
                          </w:p>
                          <w:p w14:paraId="22C80CFF" w14:textId="77777777" w:rsidR="001768F3" w:rsidRDefault="001768F3" w:rsidP="001768F3">
                            <w:pPr>
                              <w:autoSpaceDE w:val="0"/>
                              <w:autoSpaceDN w:val="0"/>
                              <w:spacing w:line="240" w:lineRule="auto"/>
                              <w:ind w:firstLineChars="100" w:firstLine="219"/>
                              <w:rPr>
                                <w:rFonts w:hAnsi="ＭＳ 明朝"/>
                                <w:color w:val="000000" w:themeColor="text1"/>
                              </w:rPr>
                            </w:pPr>
                            <w:r w:rsidRPr="00442704">
                              <w:rPr>
                                <w:rFonts w:hAnsi="ＭＳ 明朝" w:hint="eastAsia"/>
                                <w:color w:val="000000" w:themeColor="text1"/>
                              </w:rPr>
                              <w:t>この別紙を重要事項説明</w:t>
                            </w:r>
                            <w:r>
                              <w:rPr>
                                <w:rFonts w:hAnsi="ＭＳ 明朝" w:hint="eastAsia"/>
                                <w:color w:val="000000" w:themeColor="text1"/>
                              </w:rPr>
                              <w:t>書</w:t>
                            </w:r>
                            <w:r w:rsidRPr="00442704">
                              <w:rPr>
                                <w:rFonts w:hAnsi="ＭＳ 明朝" w:hint="eastAsia"/>
                                <w:color w:val="000000" w:themeColor="text1"/>
                              </w:rPr>
                              <w:t>でも使用することで、運営規程と重要事項説明書の不一致を発生させないようにする。</w:t>
                            </w:r>
                          </w:p>
                          <w:p w14:paraId="6FA760EF" w14:textId="77777777" w:rsidR="001768F3" w:rsidRPr="00F25693" w:rsidRDefault="001768F3" w:rsidP="001768F3">
                            <w:pPr>
                              <w:wordWrap w:val="0"/>
                              <w:jc w:val="left"/>
                            </w:pPr>
                          </w:p>
                        </w:txbxContent>
                      </wps:txbx>
                      <wps:bodyPr rot="0" vert="horz" wrap="square" lIns="74295" tIns="8890" rIns="74295" bIns="8890" anchor="ctr" anchorCtr="0" upright="1">
                        <a:noAutofit/>
                      </wps:bodyPr>
                    </wps:wsp>
                  </a:graphicData>
                </a:graphic>
              </wp:inline>
            </w:drawing>
          </mc:Choice>
          <mc:Fallback>
            <w:pict>
              <v:shapetype w14:anchorId="75D76AC2" id="_x0000_t202" coordsize="21600,21600" o:spt="202" path="m,l,21600r21600,l21600,xe">
                <v:stroke joinstyle="miter"/>
                <v:path gradientshapeok="t" o:connecttype="rect"/>
              </v:shapetype>
              <v:shape id="Text Box 13" o:spid="_x0000_s1026" type="#_x0000_t202" style="width:465.65pt;height:50.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">
                <v:stroke dashstyle="dash"/>
                <v:textbox inset="5.85pt,.7pt,5.85pt,.7pt">
                  <w:txbxContent>
                    <w:p w14:paraId="411A2346" w14:textId="69A6D750" w:rsidR="001768F3" w:rsidRPr="00442704" w:rsidRDefault="001768F3" w:rsidP="001768F3">
                      <w:pPr>
                        <w:autoSpaceDE w:val="0"/>
                        <w:autoSpaceDN w:val="0"/>
                        <w:spacing w:line="240" w:lineRule="auto"/>
                        <w:rPr>
                          <w:rFonts w:hAnsi="ＭＳ 明朝"/>
                          <w:color w:val="000000" w:themeColor="text1"/>
                        </w:rPr>
                      </w:pPr>
                      <w:r w:rsidRPr="00442704">
                        <w:rPr>
                          <w:rFonts w:hAnsi="ＭＳ 明朝" w:hint="eastAsia"/>
                          <w:color w:val="000000" w:themeColor="text1"/>
                        </w:rPr>
                        <w:t>※</w:t>
                      </w:r>
                      <w:r w:rsidR="001A0AB4">
                        <w:rPr>
                          <w:rFonts w:hAnsi="ＭＳ 明朝" w:hint="eastAsia"/>
                          <w:color w:val="000000" w:themeColor="text1"/>
                        </w:rPr>
                        <w:t>第</w:t>
                      </w:r>
                      <w:r w:rsidR="00180BCF">
                        <w:rPr>
                          <w:rFonts w:hAnsi="ＭＳ 明朝"/>
                          <w:color w:val="000000" w:themeColor="text1"/>
                        </w:rPr>
                        <w:t>20</w:t>
                      </w:r>
                      <w:r w:rsidR="001A0AB4">
                        <w:rPr>
                          <w:rFonts w:hAnsi="ＭＳ 明朝" w:hint="eastAsia"/>
                          <w:color w:val="000000" w:themeColor="text1"/>
                        </w:rPr>
                        <w:t>条第３項</w:t>
                      </w:r>
                      <w:r w:rsidR="002F3B2F">
                        <w:rPr>
                          <w:rFonts w:hAnsi="ＭＳ 明朝" w:hint="eastAsia"/>
                          <w:color w:val="000000" w:themeColor="text1"/>
                        </w:rPr>
                        <w:t>及び第</w:t>
                      </w:r>
                      <w:r w:rsidR="006618D0">
                        <w:rPr>
                          <w:rFonts w:hAnsi="ＭＳ 明朝"/>
                          <w:color w:val="000000" w:themeColor="text1"/>
                        </w:rPr>
                        <w:t>34</w:t>
                      </w:r>
                      <w:r w:rsidR="002F3B2F">
                        <w:rPr>
                          <w:rFonts w:hAnsi="ＭＳ 明朝" w:hint="eastAsia"/>
                          <w:color w:val="000000" w:themeColor="text1"/>
                        </w:rPr>
                        <w:t>条</w:t>
                      </w:r>
                      <w:r w:rsidR="001A0AB4">
                        <w:rPr>
                          <w:rFonts w:hAnsi="ＭＳ 明朝" w:hint="eastAsia"/>
                          <w:color w:val="000000" w:themeColor="text1"/>
                        </w:rPr>
                        <w:t>の</w:t>
                      </w:r>
                      <w:r w:rsidRPr="00442704">
                        <w:rPr>
                          <w:rFonts w:hAnsi="ＭＳ 明朝" w:hint="eastAsia"/>
                          <w:color w:val="000000" w:themeColor="text1"/>
                        </w:rPr>
                        <w:t>別紙</w:t>
                      </w:r>
                      <w:r w:rsidR="00446E7E">
                        <w:rPr>
                          <w:rFonts w:hAnsi="ＭＳ 明朝" w:hint="eastAsia"/>
                          <w:color w:val="000000" w:themeColor="text1"/>
                        </w:rPr>
                        <w:t>の</w:t>
                      </w:r>
                      <w:r w:rsidRPr="00442704">
                        <w:rPr>
                          <w:rFonts w:hAnsi="ＭＳ 明朝" w:hint="eastAsia"/>
                          <w:color w:val="000000" w:themeColor="text1"/>
                        </w:rPr>
                        <w:t>例</w:t>
                      </w:r>
                      <w:r>
                        <w:rPr>
                          <w:rFonts w:hAnsi="ＭＳ 明朝" w:hint="eastAsia"/>
                          <w:color w:val="000000" w:themeColor="text1"/>
                        </w:rPr>
                        <w:t>（</w:t>
                      </w:r>
                      <w:r w:rsidR="0013538E">
                        <w:rPr>
                          <w:rFonts w:hAnsi="ＭＳ 明朝" w:hint="eastAsia"/>
                          <w:color w:val="000000" w:themeColor="text1"/>
                        </w:rPr>
                        <w:t>就労継続支援</w:t>
                      </w:r>
                      <w:r w:rsidR="00180BCF">
                        <w:rPr>
                          <w:rFonts w:hAnsi="ＭＳ 明朝" w:hint="eastAsia"/>
                          <w:color w:val="000000" w:themeColor="text1"/>
                        </w:rPr>
                        <w:t>Ａ</w:t>
                      </w:r>
                      <w:r w:rsidR="0013538E">
                        <w:rPr>
                          <w:rFonts w:hAnsi="ＭＳ 明朝" w:hint="eastAsia"/>
                          <w:color w:val="000000" w:themeColor="text1"/>
                        </w:rPr>
                        <w:t>型</w:t>
                      </w:r>
                      <w:r>
                        <w:rPr>
                          <w:rFonts w:hAnsi="ＭＳ 明朝" w:hint="eastAsia"/>
                          <w:color w:val="000000" w:themeColor="text1"/>
                        </w:rPr>
                        <w:t>）</w:t>
                      </w:r>
                    </w:p>
                    <w:p w14:paraId="22C80CFF" w14:textId="77777777" w:rsidR="001768F3" w:rsidRDefault="001768F3" w:rsidP="001768F3">
                      <w:pPr>
                        <w:autoSpaceDE w:val="0"/>
                        <w:autoSpaceDN w:val="0"/>
                        <w:spacing w:line="240" w:lineRule="auto"/>
                        <w:ind w:firstLineChars="100" w:firstLine="219"/>
                        <w:rPr>
                          <w:rFonts w:hAnsi="ＭＳ 明朝"/>
                          <w:color w:val="000000" w:themeColor="text1"/>
                        </w:rPr>
                      </w:pPr>
                      <w:r w:rsidRPr="00442704">
                        <w:rPr>
                          <w:rFonts w:hAnsi="ＭＳ 明朝" w:hint="eastAsia"/>
                          <w:color w:val="000000" w:themeColor="text1"/>
                        </w:rPr>
                        <w:t>この別紙を重要事項説明</w:t>
                      </w:r>
                      <w:r>
                        <w:rPr>
                          <w:rFonts w:hAnsi="ＭＳ 明朝" w:hint="eastAsia"/>
                          <w:color w:val="000000" w:themeColor="text1"/>
                        </w:rPr>
                        <w:t>書</w:t>
                      </w:r>
                      <w:r w:rsidRPr="00442704">
                        <w:rPr>
                          <w:rFonts w:hAnsi="ＭＳ 明朝" w:hint="eastAsia"/>
                          <w:color w:val="000000" w:themeColor="text1"/>
                        </w:rPr>
                        <w:t>でも使用することで、運営規程と重要事項説明書の不一致を発生させないようにする。</w:t>
                      </w:r>
                    </w:p>
                    <w:p w14:paraId="6FA760EF" w14:textId="77777777" w:rsidR="001768F3" w:rsidRPr="00F25693" w:rsidRDefault="001768F3" w:rsidP="001768F3">
                      <w:pPr>
                        <w:wordWrap w:val="0"/>
                        <w:jc w:val="left"/>
                      </w:pPr>
                    </w:p>
                  </w:txbxContent>
                </v:textbox>
                <w10:anchorlock/>
              </v:shape>
            </w:pict>
          </mc:Fallback>
        </mc:AlternateContent>
      </w:r>
    </w:p>
    <w:p w14:paraId="01E419E9" w14:textId="77777777" w:rsidR="002F3B2F" w:rsidRPr="009F2030" w:rsidRDefault="0071279F" w:rsidP="0071279F">
      <w:pPr>
        <w:autoSpaceDE w:val="0"/>
        <w:autoSpaceDN w:val="0"/>
        <w:rPr>
          <w:color w:val="000000" w:themeColor="text1"/>
          <w:kern w:val="0"/>
          <w:sz w:val="24"/>
          <w:szCs w:val="24"/>
        </w:rPr>
      </w:pPr>
      <w:r w:rsidRPr="009F2030">
        <w:rPr>
          <w:rFonts w:hint="eastAsia"/>
          <w:color w:val="000000" w:themeColor="text1"/>
          <w:kern w:val="0"/>
          <w:sz w:val="24"/>
          <w:szCs w:val="24"/>
        </w:rPr>
        <w:t>別紙</w:t>
      </w:r>
    </w:p>
    <w:p w14:paraId="1736143D" w14:textId="77777777" w:rsidR="002F3B2F" w:rsidRPr="009F2030" w:rsidRDefault="002F3B2F" w:rsidP="0071279F">
      <w:pPr>
        <w:autoSpaceDE w:val="0"/>
        <w:autoSpaceDN w:val="0"/>
        <w:rPr>
          <w:color w:val="000000" w:themeColor="text1"/>
          <w:kern w:val="0"/>
          <w:sz w:val="24"/>
          <w:szCs w:val="24"/>
        </w:rPr>
      </w:pPr>
    </w:p>
    <w:p w14:paraId="7DE3BD5F" w14:textId="7EE299E0" w:rsidR="0071279F" w:rsidRPr="009F2030" w:rsidRDefault="002F3B2F" w:rsidP="0071279F">
      <w:pPr>
        <w:autoSpaceDE w:val="0"/>
        <w:autoSpaceDN w:val="0"/>
        <w:rPr>
          <w:color w:val="000000" w:themeColor="text1"/>
          <w:kern w:val="0"/>
          <w:sz w:val="24"/>
          <w:szCs w:val="24"/>
        </w:rPr>
      </w:pPr>
      <w:r w:rsidRPr="009F2030">
        <w:rPr>
          <w:rFonts w:hint="eastAsia"/>
          <w:color w:val="000000" w:themeColor="text1"/>
          <w:kern w:val="0"/>
          <w:sz w:val="24"/>
          <w:szCs w:val="24"/>
        </w:rPr>
        <w:t xml:space="preserve">１　</w:t>
      </w:r>
      <w:r w:rsidR="0071279F" w:rsidRPr="009F2030">
        <w:rPr>
          <w:rFonts w:hint="eastAsia"/>
          <w:color w:val="000000" w:themeColor="text1"/>
          <w:kern w:val="0"/>
          <w:sz w:val="24"/>
          <w:szCs w:val="24"/>
        </w:rPr>
        <w:t>利用者から受領する費用</w:t>
      </w:r>
    </w:p>
    <w:p w14:paraId="7BAE1620" w14:textId="49C70FDA" w:rsidR="0013538E" w:rsidRPr="009F2030" w:rsidRDefault="002F3B2F" w:rsidP="002F3B2F">
      <w:pPr>
        <w:autoSpaceDE w:val="0"/>
        <w:autoSpaceDN w:val="0"/>
        <w:spacing w:line="240" w:lineRule="auto"/>
        <w:ind w:firstLineChars="100" w:firstLine="259"/>
        <w:rPr>
          <w:bCs/>
          <w:color w:val="000000" w:themeColor="text1"/>
          <w:sz w:val="24"/>
          <w:szCs w:val="24"/>
        </w:rPr>
      </w:pPr>
      <w:r w:rsidRPr="009F2030">
        <w:rPr>
          <w:rFonts w:hint="eastAsia"/>
          <w:bCs/>
          <w:color w:val="000000" w:themeColor="text1"/>
          <w:sz w:val="24"/>
          <w:szCs w:val="24"/>
        </w:rPr>
        <w:t xml:space="preserve">⑴　</w:t>
      </w:r>
      <w:r w:rsidR="00AF1F14" w:rsidRPr="009F2030">
        <w:rPr>
          <w:rFonts w:hint="eastAsia"/>
          <w:bCs/>
          <w:color w:val="000000" w:themeColor="text1"/>
          <w:sz w:val="24"/>
          <w:szCs w:val="24"/>
        </w:rPr>
        <w:t>食事の提供に要する費用　　１食　○○○円</w:t>
      </w:r>
    </w:p>
    <w:p w14:paraId="1C1BE327" w14:textId="7D59DE32" w:rsidR="00AF1F14" w:rsidRPr="009F2030" w:rsidRDefault="00AF1F14" w:rsidP="002F3B2F">
      <w:pPr>
        <w:autoSpaceDE w:val="0"/>
        <w:autoSpaceDN w:val="0"/>
        <w:spacing w:line="240" w:lineRule="auto"/>
        <w:ind w:leftChars="200" w:left="438" w:firstLineChars="100" w:firstLine="259"/>
        <w:rPr>
          <w:bCs/>
          <w:color w:val="000000" w:themeColor="text1"/>
          <w:sz w:val="24"/>
          <w:szCs w:val="24"/>
        </w:rPr>
      </w:pPr>
      <w:r w:rsidRPr="009F2030">
        <w:rPr>
          <w:rFonts w:hint="eastAsia"/>
          <w:bCs/>
          <w:color w:val="000000" w:themeColor="text1"/>
          <w:sz w:val="24"/>
          <w:szCs w:val="24"/>
        </w:rPr>
        <w:t>ただし、食事提供体制加算対象者については食材料費として１食○○○円とする。</w:t>
      </w:r>
    </w:p>
    <w:p w14:paraId="74E60470" w14:textId="77777777" w:rsidR="00AF1F14" w:rsidRPr="009F2030" w:rsidRDefault="00AF1F14" w:rsidP="002F3B2F">
      <w:pPr>
        <w:autoSpaceDE w:val="0"/>
        <w:autoSpaceDN w:val="0"/>
        <w:spacing w:line="240" w:lineRule="auto"/>
        <w:ind w:firstLineChars="300" w:firstLine="777"/>
        <w:rPr>
          <w:rFonts w:hAnsi="ＭＳ 明朝"/>
          <w:color w:val="000000" w:themeColor="text1"/>
          <w:sz w:val="24"/>
          <w:szCs w:val="24"/>
        </w:rPr>
      </w:pPr>
      <w:r w:rsidRPr="009F2030">
        <w:rPr>
          <w:rFonts w:hAnsi="ＭＳ 明朝" w:hint="eastAsia"/>
          <w:color w:val="000000" w:themeColor="text1"/>
          <w:sz w:val="24"/>
          <w:szCs w:val="24"/>
        </w:rPr>
        <w:t>食事の提供時間　昼食：○時から○時まで</w:t>
      </w:r>
    </w:p>
    <w:p w14:paraId="37454283" w14:textId="6E14ADAD" w:rsidR="00AF1F14" w:rsidRPr="009F2030" w:rsidRDefault="00AF1F14" w:rsidP="00AF1F14">
      <w:pPr>
        <w:autoSpaceDE w:val="0"/>
        <w:autoSpaceDN w:val="0"/>
        <w:spacing w:line="240" w:lineRule="auto"/>
        <w:ind w:firstLineChars="100" w:firstLine="259"/>
        <w:rPr>
          <w:rFonts w:hAnsi="ＭＳ 明朝"/>
          <w:color w:val="000000" w:themeColor="text1"/>
          <w:sz w:val="24"/>
          <w:szCs w:val="24"/>
        </w:rPr>
      </w:pPr>
      <w:r w:rsidRPr="009F2030">
        <w:rPr>
          <w:rFonts w:hAnsi="ＭＳ 明朝" w:hint="eastAsia"/>
          <w:color w:val="000000" w:themeColor="text1"/>
          <w:sz w:val="24"/>
          <w:szCs w:val="24"/>
        </w:rPr>
        <w:t xml:space="preserve">　　　　　　　　　　（12月</w:t>
      </w:r>
      <w:r w:rsidR="007E50CE" w:rsidRPr="009F2030">
        <w:rPr>
          <w:rFonts w:hAnsi="ＭＳ 明朝" w:hint="eastAsia"/>
          <w:color w:val="000000" w:themeColor="text1"/>
          <w:sz w:val="24"/>
          <w:szCs w:val="24"/>
        </w:rPr>
        <w:t>●</w:t>
      </w:r>
      <w:r w:rsidRPr="009F2030">
        <w:rPr>
          <w:rFonts w:hAnsi="ＭＳ 明朝" w:hint="eastAsia"/>
          <w:color w:val="000000" w:themeColor="text1"/>
          <w:sz w:val="24"/>
          <w:szCs w:val="24"/>
        </w:rPr>
        <w:t>日及び１月</w:t>
      </w:r>
      <w:r w:rsidR="007E50CE" w:rsidRPr="009F2030">
        <w:rPr>
          <w:rFonts w:hAnsi="ＭＳ 明朝" w:hint="eastAsia"/>
          <w:color w:val="000000" w:themeColor="text1"/>
          <w:sz w:val="24"/>
          <w:szCs w:val="24"/>
        </w:rPr>
        <w:t>●</w:t>
      </w:r>
      <w:r w:rsidRPr="009F2030">
        <w:rPr>
          <w:rFonts w:hAnsi="ＭＳ 明朝" w:hint="eastAsia"/>
          <w:color w:val="000000" w:themeColor="text1"/>
          <w:sz w:val="24"/>
          <w:szCs w:val="24"/>
        </w:rPr>
        <w:t>日は食事を提供しない）</w:t>
      </w:r>
    </w:p>
    <w:p w14:paraId="3EB4D00B" w14:textId="74B7EB25" w:rsidR="00716D42" w:rsidRPr="009F2030" w:rsidRDefault="00AF1F14" w:rsidP="002F3B2F">
      <w:pPr>
        <w:autoSpaceDE w:val="0"/>
        <w:autoSpaceDN w:val="0"/>
        <w:spacing w:line="240" w:lineRule="auto"/>
        <w:ind w:left="518" w:hangingChars="200" w:hanging="518"/>
        <w:rPr>
          <w:bCs/>
          <w:color w:val="000000" w:themeColor="text1"/>
          <w:sz w:val="24"/>
          <w:szCs w:val="24"/>
        </w:rPr>
      </w:pPr>
      <w:r w:rsidRPr="009F2030">
        <w:rPr>
          <w:rFonts w:hint="eastAsia"/>
          <w:bCs/>
          <w:color w:val="000000" w:themeColor="text1"/>
          <w:sz w:val="24"/>
          <w:szCs w:val="24"/>
        </w:rPr>
        <w:t xml:space="preserve">　　</w:t>
      </w:r>
      <w:bookmarkStart w:id="0" w:name="_Hlk141988317"/>
      <w:r w:rsidR="002F3B2F" w:rsidRPr="009F2030">
        <w:rPr>
          <w:rFonts w:hint="eastAsia"/>
          <w:bCs/>
          <w:color w:val="000000" w:themeColor="text1"/>
          <w:sz w:val="24"/>
          <w:szCs w:val="24"/>
        </w:rPr>
        <w:t xml:space="preserve">　</w:t>
      </w:r>
      <w:r w:rsidRPr="009F2030">
        <w:rPr>
          <w:rFonts w:hint="eastAsia"/>
          <w:bCs/>
          <w:color w:val="000000" w:themeColor="text1"/>
          <w:sz w:val="24"/>
          <w:szCs w:val="24"/>
        </w:rPr>
        <w:t>●●日前までにキャンセルの連絡がない場合は、利用者は事業者に実費を支払う。</w:t>
      </w:r>
      <w:bookmarkEnd w:id="0"/>
    </w:p>
    <w:p w14:paraId="09E8756F" w14:textId="094BDEF3" w:rsidR="00AF1F14" w:rsidRPr="009F2030" w:rsidRDefault="00721507" w:rsidP="00716D42">
      <w:pPr>
        <w:autoSpaceDE w:val="0"/>
        <w:autoSpaceDN w:val="0"/>
        <w:spacing w:line="240" w:lineRule="auto"/>
        <w:ind w:left="199" w:hangingChars="100" w:hanging="199"/>
        <w:rPr>
          <w:bCs/>
          <w:color w:val="000000" w:themeColor="text1"/>
          <w:sz w:val="22"/>
          <w:szCs w:val="22"/>
          <w:u w:val="single"/>
        </w:rPr>
      </w:pPr>
      <w:r w:rsidRPr="009F2030">
        <w:rPr>
          <w:noProof/>
          <w:color w:val="000000" w:themeColor="text1"/>
          <w:sz w:val="22"/>
          <w:szCs w:val="22"/>
        </w:rPr>
        <mc:AlternateContent>
          <mc:Choice Requires="wps">
            <w:drawing>
              <wp:inline distT="0" distB="0" distL="0" distR="0" wp14:anchorId="0179D6DE" wp14:editId="0AEFA8D8">
                <wp:extent cx="5913755" cy="1192696"/>
                <wp:effectExtent l="0" t="0" r="10795" b="26670"/>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1192696"/>
                        </a:xfrm>
                        <a:prstGeom prst="rect">
                          <a:avLst/>
                        </a:prstGeom>
                        <a:solidFill>
                          <a:srgbClr val="FFFFFF"/>
                        </a:solidFill>
                        <a:ln w="9525">
                          <a:solidFill>
                            <a:srgbClr val="000000"/>
                          </a:solidFill>
                          <a:prstDash val="dash"/>
                          <a:miter lim="800000"/>
                          <a:headEnd/>
                          <a:tailEnd/>
                        </a:ln>
                      </wps:spPr>
                      <wps:txbx>
                        <w:txbxContent>
                          <w:p w14:paraId="002C54F0" w14:textId="77777777" w:rsidR="0013538E" w:rsidRDefault="00AF1F14" w:rsidP="0062486F">
                            <w:r>
                              <w:rPr>
                                <w:rFonts w:hint="eastAsia"/>
                              </w:rPr>
                              <w:t>食事提供体制加算は人件費に相当するため、当該加算の非対象者からは適切な食材料費を徴収すること</w:t>
                            </w:r>
                            <w:r w:rsidR="0013538E">
                              <w:rPr>
                                <w:rFonts w:hint="eastAsia"/>
                              </w:rPr>
                              <w:t>から、</w:t>
                            </w:r>
                            <w:r>
                              <w:rPr>
                                <w:rFonts w:hint="eastAsia"/>
                              </w:rPr>
                              <w:t>当該加算対象者と非対象者を同額に設定することは認められない。</w:t>
                            </w:r>
                          </w:p>
                          <w:p w14:paraId="76E3E2F3" w14:textId="545F5F9D" w:rsidR="00AF1F14" w:rsidRDefault="0013538E" w:rsidP="0062486F">
                            <w:pPr>
                              <w:wordWrap w:val="0"/>
                            </w:pPr>
                            <w:r>
                              <w:rPr>
                                <w:rFonts w:hint="eastAsia"/>
                              </w:rPr>
                              <w:t>具体的には、</w:t>
                            </w:r>
                            <w:r w:rsidR="00AF1F14">
                              <w:rPr>
                                <w:rFonts w:hint="eastAsia"/>
                              </w:rPr>
                              <w:t>札幌市ホームページ「</w:t>
                            </w:r>
                            <w:r w:rsidR="00AF1F14" w:rsidRPr="000B17C8">
                              <w:rPr>
                                <w:rFonts w:hint="eastAsia"/>
                              </w:rPr>
                              <w:t>よくある質問（障害福祉サービス等の事業運営）</w:t>
                            </w:r>
                            <w:r w:rsidR="00AF1F14">
                              <w:rPr>
                                <w:rFonts w:hint="eastAsia"/>
                              </w:rPr>
                              <w:t>」を参照。</w:t>
                            </w:r>
                          </w:p>
                          <w:p w14:paraId="1F868981" w14:textId="77777777" w:rsidR="00AF1F14" w:rsidRPr="00EC0387" w:rsidRDefault="00AF1F14" w:rsidP="0062486F">
                            <w:pPr>
                              <w:wordWrap w:val="0"/>
                            </w:pPr>
                            <w:r w:rsidRPr="003B486B">
                              <w:t>https://www.city.sapporo.jp/shogaifukushi/yokuarushitsumon.html#syokujiteikyou</w:t>
                            </w:r>
                          </w:p>
                        </w:txbxContent>
                      </wps:txbx>
                      <wps:bodyPr rot="0" vert="horz" wrap="square" lIns="74295" tIns="8890" rIns="74295" bIns="8890" anchor="ctr" anchorCtr="0" upright="1">
                        <a:noAutofit/>
                      </wps:bodyPr>
                    </wps:wsp>
                  </a:graphicData>
                </a:graphic>
              </wp:inline>
            </w:drawing>
          </mc:Choice>
          <mc:Fallback>
            <w:pict>
              <v:shape w14:anchorId="0179D6DE" id="_x0000_s1027" type="#_x0000_t202" style="width:465.65pt;height:93.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">
                <v:stroke dashstyle="dash"/>
                <v:textbox inset="5.85pt,.7pt,5.85pt,.7pt">
                  <w:txbxContent>
                    <w:p w14:paraId="002C54F0" w14:textId="77777777" w:rsidR="0013538E" w:rsidRDefault="00AF1F14" w:rsidP="0062486F">
                      <w:r>
                        <w:rPr>
                          <w:rFonts w:hint="eastAsia"/>
                        </w:rPr>
                        <w:t>食事提供体制加算は人件費に相当するため、当該加算の非対象者からは適切な食材料費を徴収すること</w:t>
                      </w:r>
                      <w:r w:rsidR="0013538E">
                        <w:rPr>
                          <w:rFonts w:hint="eastAsia"/>
                        </w:rPr>
                        <w:t>から、</w:t>
                      </w:r>
                      <w:r>
                        <w:rPr>
                          <w:rFonts w:hint="eastAsia"/>
                        </w:rPr>
                        <w:t>当該加算対象者と非対象者を同額に設定することは認められない。</w:t>
                      </w:r>
                    </w:p>
                    <w:p w14:paraId="76E3E2F3" w14:textId="545F5F9D" w:rsidR="00AF1F14" w:rsidRDefault="0013538E" w:rsidP="0062486F">
                      <w:pPr>
                        <w:wordWrap w:val="0"/>
                      </w:pPr>
                      <w:r>
                        <w:rPr>
                          <w:rFonts w:hint="eastAsia"/>
                        </w:rPr>
                        <w:t>具体的には、</w:t>
                      </w:r>
                      <w:r w:rsidR="00AF1F14">
                        <w:rPr>
                          <w:rFonts w:hint="eastAsia"/>
                        </w:rPr>
                        <w:t>札幌市ホームページ「</w:t>
                      </w:r>
                      <w:r w:rsidR="00AF1F14" w:rsidRPr="000B17C8">
                        <w:rPr>
                          <w:rFonts w:hint="eastAsia"/>
                        </w:rPr>
                        <w:t>よくある質問（障害福祉サービス等の事業運営）</w:t>
                      </w:r>
                      <w:r w:rsidR="00AF1F14">
                        <w:rPr>
                          <w:rFonts w:hint="eastAsia"/>
                        </w:rPr>
                        <w:t>」を参照。</w:t>
                      </w:r>
                    </w:p>
                    <w:p w14:paraId="1F868981" w14:textId="77777777" w:rsidR="00AF1F14" w:rsidRPr="00EC0387" w:rsidRDefault="00AF1F14" w:rsidP="0062486F">
                      <w:pPr>
                        <w:wordWrap w:val="0"/>
                      </w:pPr>
                      <w:r w:rsidRPr="003B486B">
                        <w:t>https://www.city.sapporo.jp/shogaifukushi/yokuarushitsumon.html#syokujiteikyou</w:t>
                      </w:r>
                    </w:p>
                  </w:txbxContent>
                </v:textbox>
                <w10:anchorlock/>
              </v:shape>
            </w:pict>
          </mc:Fallback>
        </mc:AlternateContent>
      </w:r>
    </w:p>
    <w:p w14:paraId="7DBEA494" w14:textId="77777777" w:rsidR="00716D42" w:rsidRPr="009F2030" w:rsidRDefault="00716D42" w:rsidP="0013538E">
      <w:pPr>
        <w:autoSpaceDE w:val="0"/>
        <w:autoSpaceDN w:val="0"/>
        <w:spacing w:line="240" w:lineRule="auto"/>
        <w:ind w:left="259" w:hangingChars="100" w:hanging="259"/>
        <w:rPr>
          <w:bCs/>
          <w:color w:val="000000" w:themeColor="text1"/>
          <w:sz w:val="24"/>
          <w:szCs w:val="24"/>
        </w:rPr>
      </w:pPr>
    </w:p>
    <w:p w14:paraId="36B3A5A2" w14:textId="29AA5349" w:rsidR="00AF1F14" w:rsidRPr="009F2030" w:rsidRDefault="002F3B2F" w:rsidP="002F3B2F">
      <w:pPr>
        <w:autoSpaceDE w:val="0"/>
        <w:autoSpaceDN w:val="0"/>
        <w:spacing w:line="240" w:lineRule="auto"/>
        <w:ind w:leftChars="100" w:left="478" w:hangingChars="100" w:hanging="259"/>
        <w:rPr>
          <w:bCs/>
          <w:color w:val="000000" w:themeColor="text1"/>
          <w:sz w:val="24"/>
          <w:szCs w:val="24"/>
        </w:rPr>
      </w:pPr>
      <w:r w:rsidRPr="009F2030">
        <w:rPr>
          <w:rFonts w:hint="eastAsia"/>
          <w:bCs/>
          <w:color w:val="000000" w:themeColor="text1"/>
          <w:sz w:val="24"/>
          <w:szCs w:val="24"/>
        </w:rPr>
        <w:t xml:space="preserve">⑵　</w:t>
      </w:r>
      <w:r w:rsidR="00AF1F14" w:rsidRPr="009F2030">
        <w:rPr>
          <w:rFonts w:hint="eastAsia"/>
          <w:bCs/>
          <w:color w:val="000000" w:themeColor="text1"/>
          <w:sz w:val="24"/>
          <w:szCs w:val="24"/>
        </w:rPr>
        <w:t>日用品費等その他日常生活においても通常必要となるものに係る費用であって、利用者に負担させることが適当と認められるものの実費</w:t>
      </w:r>
    </w:p>
    <w:p w14:paraId="24E6142A" w14:textId="2AFAFC6A" w:rsidR="00AF1F14" w:rsidRPr="009F2030" w:rsidRDefault="0013538E" w:rsidP="00AF1F14">
      <w:pPr>
        <w:autoSpaceDE w:val="0"/>
        <w:autoSpaceDN w:val="0"/>
        <w:spacing w:line="240" w:lineRule="auto"/>
        <w:ind w:left="199" w:hangingChars="100" w:hanging="199"/>
        <w:rPr>
          <w:bCs/>
          <w:color w:val="000000" w:themeColor="text1"/>
          <w:sz w:val="22"/>
          <w:szCs w:val="22"/>
        </w:rPr>
      </w:pPr>
      <w:r w:rsidRPr="009F2030">
        <w:rPr>
          <w:noProof/>
          <w:color w:val="000000" w:themeColor="text1"/>
          <w:sz w:val="22"/>
          <w:szCs w:val="22"/>
        </w:rPr>
        <mc:AlternateContent>
          <mc:Choice Requires="wps">
            <w:drawing>
              <wp:inline distT="0" distB="0" distL="0" distR="0" wp14:anchorId="30EA8A2C" wp14:editId="363FA3B9">
                <wp:extent cx="5913755" cy="914400"/>
                <wp:effectExtent l="0" t="0" r="10795" b="19050"/>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914400"/>
                        </a:xfrm>
                        <a:prstGeom prst="rect">
                          <a:avLst/>
                        </a:prstGeom>
                        <a:solidFill>
                          <a:srgbClr val="FFFFFF"/>
                        </a:solidFill>
                        <a:ln w="9525">
                          <a:solidFill>
                            <a:srgbClr val="000000"/>
                          </a:solidFill>
                          <a:prstDash val="dash"/>
                          <a:miter lim="800000"/>
                          <a:headEnd/>
                          <a:tailEnd/>
                        </a:ln>
                      </wps:spPr>
                      <wps:txbx>
                        <w:txbxContent>
                          <w:p w14:paraId="21CBE689" w14:textId="77777777" w:rsidR="00AF1F14" w:rsidRDefault="00AF1F14" w:rsidP="0062486F">
                            <w:r>
                              <w:rPr>
                                <w:rFonts w:hint="eastAsia"/>
                              </w:rPr>
                              <w:t>他、</w:t>
                            </w:r>
                            <w:r w:rsidRPr="000A791B">
                              <w:rPr>
                                <w:rFonts w:hint="eastAsia"/>
                              </w:rPr>
                              <w:t>実際に提供する</w:t>
                            </w:r>
                            <w:r>
                              <w:rPr>
                                <w:rFonts w:hint="eastAsia"/>
                              </w:rPr>
                              <w:t>就労継続支援</w:t>
                            </w:r>
                            <w:r w:rsidRPr="000A791B">
                              <w:rPr>
                                <w:rFonts w:hint="eastAsia"/>
                              </w:rPr>
                              <w:t>の内容ごとに発生する利用者負担金について記載す</w:t>
                            </w:r>
                            <w:r>
                              <w:rPr>
                                <w:rFonts w:hint="eastAsia"/>
                              </w:rPr>
                              <w:t>る。</w:t>
                            </w:r>
                          </w:p>
                          <w:p w14:paraId="5B527F48" w14:textId="77777777" w:rsidR="0013538E" w:rsidRDefault="0013538E" w:rsidP="0062486F">
                            <w:pPr>
                              <w:wordWrap w:val="0"/>
                            </w:pPr>
                          </w:p>
                          <w:p w14:paraId="2657D037" w14:textId="2220B1D2" w:rsidR="00AF1F14" w:rsidRPr="00EC0387" w:rsidRDefault="00AF1F14" w:rsidP="0062486F">
                            <w:pPr>
                              <w:wordWrap w:val="0"/>
                            </w:pPr>
                            <w:r>
                              <w:rPr>
                                <w:rFonts w:hint="eastAsia"/>
                              </w:rPr>
                              <w:t>なお、日常生活費の範囲については厚生労働省通知「障害福祉サービス等における日常生活に要する費用の取扱いについて（平成18年12月６日　障発第1206002号）」に留意すること。</w:t>
                            </w:r>
                          </w:p>
                        </w:txbxContent>
                      </wps:txbx>
                      <wps:bodyPr rot="0" vert="horz" wrap="square" lIns="74295" tIns="8890" rIns="74295" bIns="8890" anchor="ctr" anchorCtr="0" upright="1">
                        <a:noAutofit/>
                      </wps:bodyPr>
                    </wps:wsp>
                  </a:graphicData>
                </a:graphic>
              </wp:inline>
            </w:drawing>
          </mc:Choice>
          <mc:Fallback>
            <w:pict>
              <v:shape w14:anchorId="30EA8A2C" id="_x0000_s1028" type="#_x0000_t202" style="width:465.65pt;height:1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">
                <v:stroke dashstyle="dash"/>
                <v:textbox inset="5.85pt,.7pt,5.85pt,.7pt">
                  <w:txbxContent>
                    <w:p w14:paraId="21CBE689" w14:textId="77777777" w:rsidR="00AF1F14" w:rsidRDefault="00AF1F14" w:rsidP="0062486F">
                      <w:r>
                        <w:rPr>
                          <w:rFonts w:hint="eastAsia"/>
                        </w:rPr>
                        <w:t>他、</w:t>
                      </w:r>
                      <w:r w:rsidRPr="000A791B">
                        <w:rPr>
                          <w:rFonts w:hint="eastAsia"/>
                        </w:rPr>
                        <w:t>実際に提供する</w:t>
                      </w:r>
                      <w:r>
                        <w:rPr>
                          <w:rFonts w:hint="eastAsia"/>
                        </w:rPr>
                        <w:t>就労継続支援</w:t>
                      </w:r>
                      <w:r w:rsidRPr="000A791B">
                        <w:rPr>
                          <w:rFonts w:hint="eastAsia"/>
                        </w:rPr>
                        <w:t>の内容ごとに発生する利用者負担金について記載す</w:t>
                      </w:r>
                      <w:r>
                        <w:rPr>
                          <w:rFonts w:hint="eastAsia"/>
                        </w:rPr>
                        <w:t>る。</w:t>
                      </w:r>
                    </w:p>
                    <w:p w14:paraId="5B527F48" w14:textId="77777777" w:rsidR="0013538E" w:rsidRDefault="0013538E" w:rsidP="0062486F">
                      <w:pPr>
                        <w:wordWrap w:val="0"/>
                      </w:pPr>
                    </w:p>
                    <w:p w14:paraId="2657D037" w14:textId="2220B1D2" w:rsidR="00AF1F14" w:rsidRPr="00EC0387" w:rsidRDefault="00AF1F14" w:rsidP="0062486F">
                      <w:pPr>
                        <w:wordWrap w:val="0"/>
                      </w:pPr>
                      <w:r>
                        <w:rPr>
                          <w:rFonts w:hint="eastAsia"/>
                        </w:rPr>
                        <w:t>なお、日常生活費の範囲については厚生労働省通知「障害福祉サービス等における日常生活に要する費用の取扱いについて（平成18年12月６日　障発第1206002号）」に留意すること。</w:t>
                      </w:r>
                    </w:p>
                  </w:txbxContent>
                </v:textbox>
                <w10:anchorlock/>
              </v:shape>
            </w:pict>
          </mc:Fallback>
        </mc:AlternateContent>
      </w:r>
    </w:p>
    <w:p w14:paraId="79B22C18" w14:textId="53EE1F0C" w:rsidR="002F3B2F" w:rsidRPr="009F2030" w:rsidRDefault="002F3B2F" w:rsidP="00AF1F14">
      <w:pPr>
        <w:autoSpaceDE w:val="0"/>
        <w:autoSpaceDN w:val="0"/>
        <w:spacing w:line="240" w:lineRule="auto"/>
        <w:ind w:left="239" w:hangingChars="100" w:hanging="239"/>
        <w:rPr>
          <w:bCs/>
          <w:color w:val="000000" w:themeColor="text1"/>
          <w:sz w:val="22"/>
          <w:szCs w:val="22"/>
        </w:rPr>
      </w:pPr>
    </w:p>
    <w:p w14:paraId="7129F0C3" w14:textId="0716C77E" w:rsidR="002F3B2F" w:rsidRPr="009F2030" w:rsidRDefault="002F3B2F" w:rsidP="00AF1F14">
      <w:pPr>
        <w:autoSpaceDE w:val="0"/>
        <w:autoSpaceDN w:val="0"/>
        <w:spacing w:line="240" w:lineRule="auto"/>
        <w:ind w:left="259" w:hangingChars="100" w:hanging="259"/>
        <w:rPr>
          <w:bCs/>
          <w:color w:val="000000" w:themeColor="text1"/>
          <w:sz w:val="24"/>
          <w:szCs w:val="24"/>
        </w:rPr>
      </w:pPr>
      <w:r w:rsidRPr="009F2030">
        <w:rPr>
          <w:rFonts w:hint="eastAsia"/>
          <w:bCs/>
          <w:color w:val="000000" w:themeColor="text1"/>
          <w:sz w:val="24"/>
          <w:szCs w:val="24"/>
        </w:rPr>
        <w:t>２　利用者及び従業者以外の者の人数の範囲</w:t>
      </w:r>
    </w:p>
    <w:p w14:paraId="40ED089C" w14:textId="77777777" w:rsidR="002F3B2F" w:rsidRPr="009F2030" w:rsidRDefault="002F3B2F" w:rsidP="002F3B2F">
      <w:pPr>
        <w:ind w:firstLineChars="100" w:firstLine="259"/>
        <w:rPr>
          <w:color w:val="000000" w:themeColor="text1"/>
          <w:sz w:val="24"/>
          <w:szCs w:val="24"/>
        </w:rPr>
      </w:pPr>
      <w:r w:rsidRPr="009F2030">
        <w:rPr>
          <w:rFonts w:hint="eastAsia"/>
          <w:color w:val="000000" w:themeColor="text1"/>
          <w:sz w:val="24"/>
          <w:szCs w:val="24"/>
        </w:rPr>
        <w:t>⑴　利用定員が 10 人以上 20 人以下の場合</w:t>
      </w:r>
      <w:bookmarkStart w:id="1" w:name="_Hlk151978502"/>
    </w:p>
    <w:p w14:paraId="2A5C1FF9" w14:textId="4FFD3BD4" w:rsidR="002F3B2F" w:rsidRPr="009F2030" w:rsidRDefault="002F3B2F" w:rsidP="002F3B2F">
      <w:pPr>
        <w:ind w:firstLineChars="300" w:firstLine="777"/>
        <w:rPr>
          <w:color w:val="000000" w:themeColor="text1"/>
          <w:sz w:val="24"/>
          <w:szCs w:val="24"/>
        </w:rPr>
      </w:pPr>
      <w:r w:rsidRPr="009F2030">
        <w:rPr>
          <w:rFonts w:hint="eastAsia"/>
          <w:color w:val="000000" w:themeColor="text1"/>
          <w:sz w:val="24"/>
          <w:szCs w:val="24"/>
        </w:rPr>
        <w:t>利用定員に 100 分の 50 を乗じて得た数</w:t>
      </w:r>
      <w:bookmarkEnd w:id="1"/>
    </w:p>
    <w:p w14:paraId="2897A8CC" w14:textId="77777777" w:rsidR="002F3B2F" w:rsidRPr="009F2030" w:rsidRDefault="002F3B2F" w:rsidP="002F3B2F">
      <w:pPr>
        <w:ind w:firstLineChars="100" w:firstLine="259"/>
        <w:rPr>
          <w:color w:val="000000" w:themeColor="text1"/>
          <w:sz w:val="24"/>
          <w:szCs w:val="24"/>
        </w:rPr>
      </w:pPr>
      <w:r w:rsidRPr="009F2030">
        <w:rPr>
          <w:rFonts w:hint="eastAsia"/>
          <w:color w:val="000000" w:themeColor="text1"/>
          <w:sz w:val="24"/>
          <w:szCs w:val="24"/>
        </w:rPr>
        <w:t>⑵　利用定員が 21 人以上 30 人以下の場合</w:t>
      </w:r>
    </w:p>
    <w:p w14:paraId="2B436AC0" w14:textId="1102843C" w:rsidR="002F3B2F" w:rsidRPr="009F2030" w:rsidRDefault="002F3B2F" w:rsidP="002F3B2F">
      <w:pPr>
        <w:ind w:firstLineChars="300" w:firstLine="777"/>
        <w:rPr>
          <w:color w:val="000000" w:themeColor="text1"/>
          <w:sz w:val="24"/>
          <w:szCs w:val="24"/>
        </w:rPr>
      </w:pPr>
      <w:r w:rsidRPr="009F2030">
        <w:rPr>
          <w:rFonts w:hint="eastAsia"/>
          <w:color w:val="000000" w:themeColor="text1"/>
          <w:sz w:val="24"/>
          <w:szCs w:val="24"/>
        </w:rPr>
        <w:t>10 又は利用定員に 100 分の 40 を乗じて得た数のいずれか多い数</w:t>
      </w:r>
    </w:p>
    <w:p w14:paraId="52B4DDD6" w14:textId="77777777" w:rsidR="002F3B2F" w:rsidRPr="009F2030" w:rsidRDefault="002F3B2F" w:rsidP="002F3B2F">
      <w:pPr>
        <w:ind w:firstLineChars="100" w:firstLine="259"/>
        <w:rPr>
          <w:color w:val="000000" w:themeColor="text1"/>
          <w:sz w:val="24"/>
          <w:szCs w:val="24"/>
        </w:rPr>
      </w:pPr>
      <w:r w:rsidRPr="009F2030">
        <w:rPr>
          <w:rFonts w:hint="eastAsia"/>
          <w:color w:val="000000" w:themeColor="text1"/>
          <w:sz w:val="24"/>
          <w:szCs w:val="24"/>
        </w:rPr>
        <w:t>⑶　利用定員が 31 人以上の場合</w:t>
      </w:r>
    </w:p>
    <w:p w14:paraId="546312AD" w14:textId="0DEB3EDF" w:rsidR="002F3B2F" w:rsidRPr="009F2030" w:rsidRDefault="002F3B2F" w:rsidP="002F3B2F">
      <w:pPr>
        <w:ind w:firstLineChars="300" w:firstLine="777"/>
        <w:rPr>
          <w:color w:val="000000" w:themeColor="text1"/>
          <w:sz w:val="24"/>
          <w:szCs w:val="24"/>
        </w:rPr>
      </w:pPr>
      <w:r w:rsidRPr="009F2030">
        <w:rPr>
          <w:rFonts w:hint="eastAsia"/>
          <w:color w:val="000000" w:themeColor="text1"/>
          <w:sz w:val="24"/>
          <w:szCs w:val="24"/>
        </w:rPr>
        <w:t>12 又は利用定員に 100 分の 30 を乗じて得た数のいずれか多い数</w:t>
      </w:r>
    </w:p>
    <w:sectPr w:rsidR="002F3B2F" w:rsidRPr="009F2030" w:rsidSect="001768F3">
      <w:pgSz w:w="11906" w:h="16838" w:code="9"/>
      <w:pgMar w:top="1247" w:right="1247" w:bottom="1247" w:left="1247" w:header="851" w:footer="992" w:gutter="0"/>
      <w:cols w:space="425"/>
      <w:docGrid w:type="linesAndChars" w:linePitch="333" w:charSpace="-4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C4CB1" w14:textId="77777777" w:rsidR="00AF1F14" w:rsidRDefault="00AF1F14" w:rsidP="00AF1F14">
      <w:pPr>
        <w:spacing w:line="240" w:lineRule="auto"/>
      </w:pPr>
      <w:r>
        <w:separator/>
      </w:r>
    </w:p>
  </w:endnote>
  <w:endnote w:type="continuationSeparator" w:id="0">
    <w:p w14:paraId="730375CB" w14:textId="77777777" w:rsidR="00AF1F14" w:rsidRDefault="00AF1F14" w:rsidP="00AF1F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A7E4D" w14:textId="77777777" w:rsidR="00AF1F14" w:rsidRDefault="00AF1F14" w:rsidP="00AF1F14">
      <w:pPr>
        <w:spacing w:line="240" w:lineRule="auto"/>
      </w:pPr>
      <w:r>
        <w:separator/>
      </w:r>
    </w:p>
  </w:footnote>
  <w:footnote w:type="continuationSeparator" w:id="0">
    <w:p w14:paraId="3B4CC541" w14:textId="77777777" w:rsidR="00AF1F14" w:rsidRDefault="00AF1F14" w:rsidP="00AF1F1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9"/>
  <w:drawingGridVerticalSpacing w:val="333"/>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8F3"/>
    <w:rsid w:val="000F3E0C"/>
    <w:rsid w:val="0013538E"/>
    <w:rsid w:val="001768F3"/>
    <w:rsid w:val="00180BCF"/>
    <w:rsid w:val="001A0AB4"/>
    <w:rsid w:val="002F3B2F"/>
    <w:rsid w:val="00446E7E"/>
    <w:rsid w:val="0062486F"/>
    <w:rsid w:val="006618D0"/>
    <w:rsid w:val="006D2087"/>
    <w:rsid w:val="0071279F"/>
    <w:rsid w:val="00716D42"/>
    <w:rsid w:val="00721507"/>
    <w:rsid w:val="007E50CE"/>
    <w:rsid w:val="00947E94"/>
    <w:rsid w:val="009F2030"/>
    <w:rsid w:val="00AF1F14"/>
    <w:rsid w:val="00B355AB"/>
    <w:rsid w:val="00C54049"/>
    <w:rsid w:val="00D33439"/>
    <w:rsid w:val="00E15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44AFC7D"/>
  <w15:chartTrackingRefBased/>
  <w15:docId w15:val="{1299E9C6-6F32-4BE7-A194-DE28A7590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298" w:lineRule="atLeast"/>
        <w:ind w:left="238" w:hanging="23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8F3"/>
    <w:pPr>
      <w:widowControl w:val="0"/>
      <w:ind w:left="0" w:firstLine="0"/>
    </w:pPr>
    <w:rPr>
      <w:rFonts w:ascii="ＭＳ 明朝" w:eastAsia="ＭＳ 明朝" w:hAnsi="Century" w:cs="Times New Roman"/>
      <w:spacing w:val="2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F14"/>
    <w:pPr>
      <w:tabs>
        <w:tab w:val="center" w:pos="4252"/>
        <w:tab w:val="right" w:pos="8504"/>
      </w:tabs>
      <w:snapToGrid w:val="0"/>
    </w:pPr>
  </w:style>
  <w:style w:type="character" w:customStyle="1" w:styleId="a4">
    <w:name w:val="ヘッダー (文字)"/>
    <w:basedOn w:val="a0"/>
    <w:link w:val="a3"/>
    <w:uiPriority w:val="99"/>
    <w:rsid w:val="00AF1F14"/>
    <w:rPr>
      <w:rFonts w:ascii="ＭＳ 明朝" w:eastAsia="ＭＳ 明朝" w:hAnsi="Century" w:cs="Times New Roman"/>
      <w:spacing w:val="20"/>
      <w:sz w:val="20"/>
      <w:szCs w:val="20"/>
    </w:rPr>
  </w:style>
  <w:style w:type="paragraph" w:styleId="a5">
    <w:name w:val="footer"/>
    <w:basedOn w:val="a"/>
    <w:link w:val="a6"/>
    <w:uiPriority w:val="99"/>
    <w:unhideWhenUsed/>
    <w:rsid w:val="00AF1F14"/>
    <w:pPr>
      <w:tabs>
        <w:tab w:val="center" w:pos="4252"/>
        <w:tab w:val="right" w:pos="8504"/>
      </w:tabs>
      <w:snapToGrid w:val="0"/>
    </w:pPr>
  </w:style>
  <w:style w:type="character" w:customStyle="1" w:styleId="a6">
    <w:name w:val="フッター (文字)"/>
    <w:basedOn w:val="a0"/>
    <w:link w:val="a5"/>
    <w:uiPriority w:val="99"/>
    <w:rsid w:val="00AF1F14"/>
    <w:rPr>
      <w:rFonts w:ascii="ＭＳ 明朝" w:eastAsia="ＭＳ 明朝" w:hAnsi="Century" w:cs="Times New Roman"/>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64</Words>
  <Characters>368</Characters>
  <Application>Microsoft Office Word</Application>
  <DocSecurity>0</DocSecurity>
  <Lines>3</Lines>
  <Paragraphs>1</Paragraphs>
  <ScaleCrop>false</ScaleCrop>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薩摩 一仁</cp:lastModifiedBy>
  <cp:revision>9</cp:revision>
  <cp:lastPrinted>2023-11-30T01:01:00Z</cp:lastPrinted>
  <dcterms:created xsi:type="dcterms:W3CDTF">2023-09-08T02:21:00Z</dcterms:created>
  <dcterms:modified xsi:type="dcterms:W3CDTF">2023-11-30T01:07:00Z</dcterms:modified>
</cp:coreProperties>
</file>